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5367" w14:textId="77777777" w:rsidR="00744B93" w:rsidRDefault="00744B93" w:rsidP="00744B93">
      <w:pPr>
        <w:spacing w:after="0"/>
        <w:ind w:firstLine="360"/>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2A529614" wp14:editId="3D5455C2">
            <wp:simplePos x="0" y="0"/>
            <wp:positionH relativeFrom="margin">
              <wp:posOffset>-285750</wp:posOffset>
            </wp:positionH>
            <wp:positionV relativeFrom="margin">
              <wp:posOffset>-269240</wp:posOffset>
            </wp:positionV>
            <wp:extent cx="1318260" cy="1181100"/>
            <wp:effectExtent l="0" t="0" r="0" b="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pic:spPr>
                </pic:pic>
              </a:graphicData>
            </a:graphic>
            <wp14:sizeRelH relativeFrom="margin">
              <wp14:pctWidth>0</wp14:pctWidth>
            </wp14:sizeRelH>
            <wp14:sizeRelV relativeFrom="margin">
              <wp14:pctHeight>0</wp14:pctHeight>
            </wp14:sizeRelV>
          </wp:anchor>
        </w:drawing>
      </w:r>
      <w:r w:rsidRPr="004E5F1C">
        <w:rPr>
          <w:rFonts w:ascii="Calibri" w:hAnsi="Calibri" w:cs="Latha"/>
          <w:b/>
          <w:sz w:val="40"/>
          <w:szCs w:val="40"/>
        </w:rPr>
        <w:t xml:space="preserve">Board </w:t>
      </w:r>
      <w:r>
        <w:rPr>
          <w:rFonts w:ascii="Calibri" w:hAnsi="Calibri" w:cs="Latha"/>
          <w:b/>
          <w:sz w:val="40"/>
          <w:szCs w:val="40"/>
        </w:rPr>
        <w:t xml:space="preserve">Meeting Summary </w:t>
      </w:r>
    </w:p>
    <w:p w14:paraId="60A2682A" w14:textId="5DF97619" w:rsidR="00744B93" w:rsidRPr="00157AB9" w:rsidRDefault="00744B93" w:rsidP="00744B93">
      <w:pPr>
        <w:spacing w:after="0"/>
        <w:ind w:firstLine="360"/>
        <w:rPr>
          <w:rFonts w:ascii="Calibri" w:hAnsi="Calibri" w:cs="Latha"/>
          <w:b/>
          <w:sz w:val="40"/>
          <w:szCs w:val="40"/>
        </w:rPr>
      </w:pPr>
      <w:r>
        <w:rPr>
          <w:rFonts w:ascii="Calibri" w:hAnsi="Calibri" w:cs="Latha"/>
          <w:bCs/>
          <w:sz w:val="32"/>
          <w:szCs w:val="32"/>
        </w:rPr>
        <w:t>September 23, 2025</w:t>
      </w:r>
    </w:p>
    <w:p w14:paraId="5182F39D" w14:textId="77777777" w:rsidR="00744B93" w:rsidRPr="00157AB9" w:rsidRDefault="00744B93" w:rsidP="00744B93">
      <w:pPr>
        <w:tabs>
          <w:tab w:val="center" w:pos="5040"/>
        </w:tabs>
        <w:suppressAutoHyphens/>
        <w:spacing w:after="0" w:line="276" w:lineRule="auto"/>
        <w:ind w:right="360"/>
        <w:rPr>
          <w:b/>
          <w:iCs/>
          <w:spacing w:val="-2"/>
        </w:rPr>
      </w:pPr>
      <w:r>
        <w:rPr>
          <w:b/>
          <w:iCs/>
          <w:spacing w:val="-2"/>
        </w:rPr>
        <w:tab/>
      </w:r>
      <w:r w:rsidRPr="00230ADE">
        <w:rPr>
          <w:b/>
          <w:iCs/>
          <w:spacing w:val="-2"/>
        </w:rPr>
        <w:t>District Office Building</w:t>
      </w:r>
      <w:r>
        <w:rPr>
          <w:b/>
          <w:iCs/>
          <w:spacing w:val="-2"/>
        </w:rPr>
        <w:t xml:space="preserve"> | </w:t>
      </w:r>
      <w:r w:rsidRPr="00230ADE">
        <w:rPr>
          <w:b/>
          <w:iCs/>
          <w:spacing w:val="-2"/>
        </w:rPr>
        <w:t>799 SW Columbia</w:t>
      </w:r>
      <w:r>
        <w:rPr>
          <w:b/>
          <w:iCs/>
          <w:spacing w:val="-2"/>
        </w:rPr>
        <w:t xml:space="preserve"> | </w:t>
      </w:r>
      <w:r w:rsidRPr="00230ADE">
        <w:rPr>
          <w:b/>
          <w:iCs/>
          <w:spacing w:val="-2"/>
        </w:rPr>
        <w:t>Bend, Oregon</w:t>
      </w:r>
    </w:p>
    <w:p w14:paraId="27C8BE81" w14:textId="77777777" w:rsidR="00744B93" w:rsidRDefault="00744B93" w:rsidP="00744B93">
      <w:pPr>
        <w:ind w:right="360"/>
        <w:rPr>
          <w:rFonts w:cstheme="minorHAnsi"/>
        </w:rPr>
      </w:pPr>
    </w:p>
    <w:p w14:paraId="5B4126FD" w14:textId="77777777" w:rsidR="00744B93" w:rsidRPr="0069262A" w:rsidRDefault="00744B93" w:rsidP="00744B93">
      <w:pPr>
        <w:ind w:right="360"/>
        <w:rPr>
          <w:rFonts w:cstheme="minorHAnsi"/>
        </w:rPr>
      </w:pP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p>
    <w:p w14:paraId="6D81A6BA" w14:textId="77777777" w:rsidR="00744B93" w:rsidRDefault="00744B93" w:rsidP="00744B93">
      <w:pPr>
        <w:spacing w:after="0"/>
        <w:rPr>
          <w:rFonts w:cstheme="minorHAnsi"/>
          <w:b/>
          <w:u w:val="single"/>
        </w:rPr>
      </w:pPr>
      <w:r>
        <w:rPr>
          <w:rFonts w:cstheme="minorHAnsi"/>
          <w:b/>
          <w:u w:val="single"/>
        </w:rPr>
        <w:t>BOARD PRESENT</w:t>
      </w:r>
    </w:p>
    <w:p w14:paraId="56B17D51" w14:textId="77777777" w:rsidR="00744B93" w:rsidRPr="00400351" w:rsidRDefault="00744B93" w:rsidP="00744B93">
      <w:pPr>
        <w:spacing w:after="0"/>
        <w:rPr>
          <w:rFonts w:cstheme="minorHAnsi"/>
          <w:bCs/>
        </w:rPr>
      </w:pPr>
      <w:r w:rsidRPr="00400351">
        <w:rPr>
          <w:rFonts w:cstheme="minorHAnsi"/>
          <w:bCs/>
        </w:rPr>
        <w:t>Nathan Hovekamp</w:t>
      </w:r>
    </w:p>
    <w:p w14:paraId="146E8E2A" w14:textId="77777777" w:rsidR="00744B93" w:rsidRPr="00400351" w:rsidRDefault="00744B93" w:rsidP="00744B93">
      <w:pPr>
        <w:spacing w:after="0"/>
        <w:rPr>
          <w:rFonts w:cstheme="minorHAnsi"/>
          <w:bCs/>
        </w:rPr>
      </w:pPr>
      <w:r w:rsidRPr="00400351">
        <w:rPr>
          <w:rFonts w:cstheme="minorHAnsi"/>
          <w:bCs/>
        </w:rPr>
        <w:t>Deb Schoen</w:t>
      </w:r>
    </w:p>
    <w:p w14:paraId="70508CDD" w14:textId="77777777" w:rsidR="00744B93" w:rsidRPr="00400351" w:rsidRDefault="00744B93" w:rsidP="00744B93">
      <w:pPr>
        <w:spacing w:after="0"/>
        <w:rPr>
          <w:rFonts w:cstheme="minorHAnsi"/>
          <w:bCs/>
        </w:rPr>
      </w:pPr>
      <w:r w:rsidRPr="00400351">
        <w:rPr>
          <w:rFonts w:cstheme="minorHAnsi"/>
          <w:bCs/>
        </w:rPr>
        <w:t>Cary Schneider</w:t>
      </w:r>
    </w:p>
    <w:p w14:paraId="5D38EF8C" w14:textId="77777777" w:rsidR="00744B93" w:rsidRPr="00400351" w:rsidRDefault="00744B93" w:rsidP="00744B93">
      <w:pPr>
        <w:spacing w:after="0"/>
        <w:rPr>
          <w:rFonts w:cstheme="minorHAnsi"/>
          <w:bCs/>
        </w:rPr>
      </w:pPr>
      <w:r w:rsidRPr="00400351">
        <w:rPr>
          <w:rFonts w:cstheme="minorHAnsi"/>
          <w:bCs/>
        </w:rPr>
        <w:t>Donna Owens</w:t>
      </w:r>
    </w:p>
    <w:p w14:paraId="6C4AB209" w14:textId="77777777" w:rsidR="00744B93" w:rsidRDefault="00744B93" w:rsidP="00744B93">
      <w:pPr>
        <w:spacing w:after="0"/>
        <w:rPr>
          <w:rFonts w:cstheme="minorHAnsi"/>
          <w:b/>
          <w:u w:val="single"/>
        </w:rPr>
      </w:pPr>
    </w:p>
    <w:p w14:paraId="089CFDDB" w14:textId="77777777" w:rsidR="00744B93" w:rsidRDefault="00744B93" w:rsidP="00744B93">
      <w:pPr>
        <w:spacing w:after="0"/>
        <w:rPr>
          <w:rFonts w:cstheme="minorHAnsi"/>
          <w:b/>
          <w:u w:val="single"/>
        </w:rPr>
      </w:pPr>
      <w:r>
        <w:rPr>
          <w:rFonts w:cstheme="minorHAnsi"/>
          <w:b/>
          <w:u w:val="single"/>
        </w:rPr>
        <w:t>BOARD ABSENT</w:t>
      </w:r>
    </w:p>
    <w:p w14:paraId="0A1A4550" w14:textId="77777777" w:rsidR="00744B93" w:rsidRPr="00400351" w:rsidRDefault="00744B93" w:rsidP="00744B93">
      <w:pPr>
        <w:spacing w:after="0"/>
        <w:rPr>
          <w:rFonts w:cstheme="minorHAnsi"/>
          <w:bCs/>
        </w:rPr>
      </w:pPr>
      <w:r w:rsidRPr="00400351">
        <w:rPr>
          <w:rFonts w:cstheme="minorHAnsi"/>
          <w:bCs/>
        </w:rPr>
        <w:t xml:space="preserve">Jodie </w:t>
      </w:r>
      <w:r>
        <w:rPr>
          <w:rFonts w:cstheme="minorHAnsi"/>
          <w:bCs/>
        </w:rPr>
        <w:t>Schiffman</w:t>
      </w:r>
    </w:p>
    <w:p w14:paraId="6374FF5C" w14:textId="77777777" w:rsidR="00A61733" w:rsidRDefault="00A61733">
      <w:pPr>
        <w:rPr>
          <w:b/>
          <w:bCs/>
          <w:sz w:val="28"/>
          <w:szCs w:val="28"/>
        </w:rPr>
      </w:pPr>
    </w:p>
    <w:p w14:paraId="5DD9607F" w14:textId="77777777" w:rsidR="00A61733" w:rsidRDefault="00231C09">
      <w:pPr>
        <w:rPr>
          <w:b/>
          <w:bCs/>
          <w:sz w:val="28"/>
          <w:szCs w:val="28"/>
        </w:rPr>
      </w:pPr>
      <w:r w:rsidRPr="00A75382">
        <w:rPr>
          <w:b/>
          <w:bCs/>
          <w:sz w:val="28"/>
          <w:szCs w:val="28"/>
        </w:rPr>
        <w:t>Summary of Sept. 23 board of directors meeting</w:t>
      </w:r>
    </w:p>
    <w:p w14:paraId="302098E0" w14:textId="20E72093" w:rsidR="00231C09" w:rsidRPr="00A61733" w:rsidRDefault="00231C09">
      <w:pPr>
        <w:rPr>
          <w:b/>
          <w:bCs/>
          <w:sz w:val="28"/>
          <w:szCs w:val="28"/>
        </w:rPr>
      </w:pPr>
      <w:r>
        <w:t xml:space="preserve">The BPRD board of directors </w:t>
      </w:r>
      <w:r w:rsidR="00367FDC">
        <w:t xml:space="preserve">appointed members to the Naming Committee, </w:t>
      </w:r>
      <w:r w:rsidR="00046C6E">
        <w:t xml:space="preserve">did not pass </w:t>
      </w:r>
      <w:r w:rsidR="00367FDC">
        <w:t>tax exemption requests for housing developments, and approved a contract for lighting at Pine Nursery Park at the Sept. 23 meeting. The elected officials also approved a letter of intent with Oregon State University- Cascades re</w:t>
      </w:r>
      <w:r w:rsidR="005D515C">
        <w:t xml:space="preserve">lated </w:t>
      </w:r>
      <w:r w:rsidR="00367FDC">
        <w:t xml:space="preserve">to the Park Services complex next to the growing campus. A </w:t>
      </w:r>
      <w:hyperlink r:id="rId6" w:history="1">
        <w:r w:rsidR="00367FDC" w:rsidRPr="00046C6E">
          <w:rPr>
            <w:rStyle w:val="Hyperlink"/>
          </w:rPr>
          <w:t>video recording</w:t>
        </w:r>
      </w:hyperlink>
      <w:r w:rsidR="00367FDC">
        <w:t xml:space="preserve"> is available. </w:t>
      </w:r>
    </w:p>
    <w:p w14:paraId="749C3605" w14:textId="593F2500" w:rsidR="00367FDC" w:rsidRPr="00367FDC" w:rsidRDefault="00367FDC">
      <w:pPr>
        <w:rPr>
          <w:b/>
          <w:bCs/>
        </w:rPr>
      </w:pPr>
      <w:r w:rsidRPr="00367FDC">
        <w:rPr>
          <w:b/>
          <w:bCs/>
        </w:rPr>
        <w:t>Naming committee</w:t>
      </w:r>
    </w:p>
    <w:p w14:paraId="29C047B1" w14:textId="58592979" w:rsidR="00B101CA" w:rsidRDefault="00F65F2F">
      <w:r w:rsidRPr="00F65F2F">
        <w:t xml:space="preserve">A five-member Naming Committee </w:t>
      </w:r>
      <w:proofErr w:type="gramStart"/>
      <w:r w:rsidRPr="00F65F2F">
        <w:t>is</w:t>
      </w:r>
      <w:proofErr w:type="gramEnd"/>
      <w:r w:rsidRPr="00F65F2F">
        <w:t xml:space="preserve"> appointed by the board of directors to work with staff and advise on </w:t>
      </w:r>
      <w:proofErr w:type="gramStart"/>
      <w:r w:rsidRPr="00F65F2F">
        <w:t>park</w:t>
      </w:r>
      <w:proofErr w:type="gramEnd"/>
      <w:r w:rsidRPr="00F65F2F">
        <w:t>, facility and trail naming opportunities. This year, all five committee seats are expiring. The board reappointed Robin Vora, Rebekah Averette and Jane Dunham to serve</w:t>
      </w:r>
      <w:r w:rsidR="0039234D">
        <w:t xml:space="preserve"> </w:t>
      </w:r>
      <w:r w:rsidRPr="00F65F2F">
        <w:t xml:space="preserve">a two-year term through September 2027. After an advertised application process, the board appointed two new members that received the top scores from the board of directors. </w:t>
      </w:r>
      <w:r w:rsidR="00043094">
        <w:t>Chad Martin</w:t>
      </w:r>
      <w:r w:rsidRPr="00F65F2F">
        <w:t xml:space="preserve"> and </w:t>
      </w:r>
      <w:r w:rsidR="00043094">
        <w:t>Mark Johnson</w:t>
      </w:r>
      <w:r w:rsidRPr="00F65F2F">
        <w:t xml:space="preserve"> will serve for a four-year term through September 2029.</w:t>
      </w:r>
      <w:r w:rsidR="00043094">
        <w:t xml:space="preserve"> </w:t>
      </w:r>
      <w:r w:rsidR="005D515C" w:rsidRPr="006003F0">
        <w:t>Dean Harris</w:t>
      </w:r>
      <w:r w:rsidR="00043094" w:rsidRPr="006003F0">
        <w:t xml:space="preserve"> was appointed as an alternate member should any member of the committee be unable to fulfill their term.</w:t>
      </w:r>
      <w:r w:rsidR="00043094">
        <w:t xml:space="preserve"> </w:t>
      </w:r>
      <w:r w:rsidR="00B101CA">
        <w:t xml:space="preserve"> </w:t>
      </w:r>
    </w:p>
    <w:p w14:paraId="5BB3AF1E" w14:textId="3C506D9F" w:rsidR="00B101CA" w:rsidRDefault="00A61733" w:rsidP="00B101CA">
      <w:pPr>
        <w:rPr>
          <w:rFonts w:ascii="Calibri" w:hAnsi="Calibri"/>
          <w:b/>
          <w:i/>
        </w:rPr>
      </w:pPr>
      <w:r>
        <w:rPr>
          <w:rFonts w:ascii="Calibri" w:hAnsi="Calibri"/>
          <w:b/>
          <w:i/>
        </w:rPr>
        <w:t>D</w:t>
      </w:r>
      <w:r w:rsidR="00D57882">
        <w:rPr>
          <w:rFonts w:ascii="Calibri" w:hAnsi="Calibri"/>
          <w:b/>
          <w:i/>
        </w:rPr>
        <w:t>irector Hovekamp made</w:t>
      </w:r>
      <w:r w:rsidR="00B101CA">
        <w:rPr>
          <w:rFonts w:ascii="Calibri" w:hAnsi="Calibri"/>
          <w:b/>
          <w:i/>
        </w:rPr>
        <w:t xml:space="preserve"> a motion to appoint </w:t>
      </w:r>
      <w:r w:rsidR="00D57882">
        <w:rPr>
          <w:rFonts w:ascii="Calibri" w:hAnsi="Calibri"/>
          <w:b/>
          <w:i/>
        </w:rPr>
        <w:t>Chad Martin</w:t>
      </w:r>
      <w:r w:rsidR="00B101CA">
        <w:rPr>
          <w:rFonts w:ascii="Calibri" w:hAnsi="Calibri"/>
          <w:b/>
          <w:i/>
        </w:rPr>
        <w:t xml:space="preserve"> and </w:t>
      </w:r>
      <w:r w:rsidR="00D57882">
        <w:rPr>
          <w:rFonts w:ascii="Calibri" w:hAnsi="Calibri"/>
          <w:b/>
          <w:i/>
        </w:rPr>
        <w:t>Mark Johnson</w:t>
      </w:r>
      <w:r w:rsidR="00B101CA">
        <w:rPr>
          <w:rFonts w:ascii="Calibri" w:hAnsi="Calibri"/>
          <w:b/>
          <w:i/>
        </w:rPr>
        <w:t xml:space="preserve"> </w:t>
      </w:r>
      <w:r w:rsidR="00B101CA">
        <w:rPr>
          <w:b/>
          <w:i/>
        </w:rPr>
        <w:t xml:space="preserve">to serve on the Bend Park and Recreation District’s naming committee for </w:t>
      </w:r>
      <w:r w:rsidR="00B101CA">
        <w:rPr>
          <w:rFonts w:ascii="Calibri" w:hAnsi="Calibri"/>
          <w:b/>
          <w:i/>
        </w:rPr>
        <w:t>a four-year term through September 2029</w:t>
      </w:r>
      <w:r w:rsidR="00D57882">
        <w:rPr>
          <w:rFonts w:ascii="Calibri" w:hAnsi="Calibri"/>
          <w:b/>
          <w:i/>
        </w:rPr>
        <w:t xml:space="preserve"> and Dean Harris t</w:t>
      </w:r>
      <w:r>
        <w:rPr>
          <w:rFonts w:ascii="Calibri" w:hAnsi="Calibri"/>
          <w:b/>
          <w:i/>
        </w:rPr>
        <w:t>o</w:t>
      </w:r>
      <w:r w:rsidR="00D57882">
        <w:rPr>
          <w:rFonts w:ascii="Calibri" w:hAnsi="Calibri"/>
          <w:b/>
          <w:i/>
        </w:rPr>
        <w:t xml:space="preserve"> serve as an alternate if needed. Director Schoen seconded. The motion passed unanimously, 4-0. (Hovekamp, Schoen, Schneider and Owens)</w:t>
      </w:r>
    </w:p>
    <w:p w14:paraId="0FBEAB76" w14:textId="5C0FBE8E" w:rsidR="00367FDC" w:rsidRPr="00367FDC" w:rsidRDefault="00367FDC">
      <w:pPr>
        <w:rPr>
          <w:b/>
          <w:bCs/>
        </w:rPr>
      </w:pPr>
      <w:r w:rsidRPr="00367FDC">
        <w:rPr>
          <w:b/>
          <w:bCs/>
        </w:rPr>
        <w:lastRenderedPageBreak/>
        <w:t>Tax exemption requests</w:t>
      </w:r>
    </w:p>
    <w:p w14:paraId="31560EE9" w14:textId="69E8BD16" w:rsidR="00367FDC" w:rsidRPr="00181061" w:rsidRDefault="00181061">
      <w:r w:rsidRPr="00181061">
        <w:t xml:space="preserve">The board </w:t>
      </w:r>
      <w:r w:rsidR="00046C6E">
        <w:t xml:space="preserve">had a split vote (Hovekamp and Owens opposed; Schneider and Schoen in favor; Schiffman absent) on </w:t>
      </w:r>
      <w:r w:rsidRPr="00181061">
        <w:t>the following tax exemption requests</w:t>
      </w:r>
      <w:r w:rsidR="00046C6E">
        <w:t xml:space="preserve"> that failed to get a majority vote</w:t>
      </w:r>
      <w:r w:rsidRPr="00181061">
        <w:t>:</w:t>
      </w:r>
    </w:p>
    <w:p w14:paraId="643ED805" w14:textId="26B5152B" w:rsidR="00784EA7" w:rsidRDefault="00784EA7">
      <w:r w:rsidRPr="00AB20DB">
        <w:rPr>
          <w:u w:val="single"/>
        </w:rPr>
        <w:t>Cascade Landing Application</w:t>
      </w:r>
      <w:r w:rsidR="00181061" w:rsidRPr="00AB20DB">
        <w:rPr>
          <w:u w:val="single"/>
        </w:rPr>
        <w:t>:</w:t>
      </w:r>
      <w:r w:rsidRPr="00784EA7">
        <w:t xml:space="preserve"> The proposed project includes five, three-story garden-style walk up apartment buildings and a single-story community center building, with parking. All 98 residential units will be designated for low-income housing. Based upon preliminary calculations by City of Bend staff, the 20-year financial impact to the district of the requested exemption would be $792,848.</w:t>
      </w:r>
      <w:r w:rsidR="00181061">
        <w:t xml:space="preserve"> </w:t>
      </w:r>
      <w:r w:rsidR="00181061" w:rsidRPr="00181061">
        <w:t xml:space="preserve">In addition to the requested property tax exemption, </w:t>
      </w:r>
      <w:r w:rsidR="00181061">
        <w:t>i</w:t>
      </w:r>
      <w:r w:rsidR="00181061" w:rsidRPr="00181061">
        <w:t>n July, the district approved 69 SDC waivers for the project. Based upon the multi-family unit type, this SDC exemption is valued at $592,641.</w:t>
      </w:r>
    </w:p>
    <w:p w14:paraId="4F34374E" w14:textId="5172504A" w:rsidR="00D57882" w:rsidRPr="00B07462" w:rsidRDefault="00D57882" w:rsidP="00D57882">
      <w:pPr>
        <w:tabs>
          <w:tab w:val="left" w:pos="4320"/>
        </w:tabs>
        <w:rPr>
          <w:rFonts w:ascii="Calibri" w:eastAsia="Calibri" w:hAnsi="Calibri"/>
          <w:b/>
          <w:i/>
        </w:rPr>
      </w:pPr>
      <w:r>
        <w:rPr>
          <w:rFonts w:ascii="Calibri" w:eastAsia="Calibri" w:hAnsi="Calibri"/>
          <w:b/>
          <w:i/>
        </w:rPr>
        <w:t>Director Schoen made a motion</w:t>
      </w:r>
      <w:r w:rsidRPr="00B07462">
        <w:rPr>
          <w:rFonts w:ascii="Calibri" w:eastAsia="Calibri" w:hAnsi="Calibri"/>
          <w:b/>
          <w:i/>
        </w:rPr>
        <w:t xml:space="preserve"> to approve the applicant’s request for a twenty-year tax exemption for a </w:t>
      </w:r>
      <w:r>
        <w:rPr>
          <w:rFonts w:ascii="Calibri" w:eastAsia="Calibri" w:hAnsi="Calibri"/>
          <w:b/>
          <w:i/>
        </w:rPr>
        <w:t>98</w:t>
      </w:r>
      <w:r w:rsidRPr="00B07462">
        <w:rPr>
          <w:rFonts w:ascii="Calibri" w:eastAsia="Calibri" w:hAnsi="Calibri"/>
          <w:b/>
          <w:i/>
        </w:rPr>
        <w:t xml:space="preserve">-unit residential development </w:t>
      </w:r>
      <w:r w:rsidRPr="00B07462">
        <w:rPr>
          <w:rFonts w:ascii="Calibri" w:eastAsia="Calibri" w:hAnsi="Calibri"/>
          <w:b/>
          <w:bCs/>
        </w:rPr>
        <w:t>on TAX LOT:181219A000101</w:t>
      </w:r>
      <w:r>
        <w:rPr>
          <w:rFonts w:ascii="Calibri" w:eastAsia="Calibri" w:hAnsi="Calibri"/>
        </w:rPr>
        <w:t xml:space="preserve"> </w:t>
      </w:r>
      <w:r w:rsidRPr="00B07462">
        <w:rPr>
          <w:rFonts w:ascii="Calibri" w:eastAsia="Calibri" w:hAnsi="Calibri"/>
          <w:b/>
          <w:i/>
        </w:rPr>
        <w:t>as part of the City of Bend’s Income Qualified Tax Exemption program.</w:t>
      </w:r>
      <w:r>
        <w:rPr>
          <w:rFonts w:ascii="Calibri" w:eastAsia="Calibri" w:hAnsi="Calibri"/>
          <w:b/>
          <w:i/>
        </w:rPr>
        <w:t xml:space="preserve"> Director Schneider seconded. The motion failed, 2-2. (Schoen and Schneider voted in favor and Hovekamp and Owens opposed)</w:t>
      </w:r>
    </w:p>
    <w:p w14:paraId="59BEA02F" w14:textId="0F635B3B" w:rsidR="00181061" w:rsidRDefault="00181061">
      <w:r w:rsidRPr="00AB20DB">
        <w:rPr>
          <w:u w:val="single"/>
        </w:rPr>
        <w:t>Verde Pines Application:</w:t>
      </w:r>
      <w:r w:rsidRPr="00181061">
        <w:t xml:space="preserve"> The proposed project includes two four-story apartment buildings and one three-story apartment building with associated parking. All 128 residential units will be designated for low-income housing</w:t>
      </w:r>
      <w:r w:rsidR="0041738A">
        <w:t xml:space="preserve">. </w:t>
      </w:r>
      <w:r w:rsidRPr="00181061">
        <w:t>Based upon preliminary calculations by city staff, the 20-year financial impact to the district of the requested exemption would be approximately $556,445.</w:t>
      </w:r>
      <w:r>
        <w:t xml:space="preserve"> </w:t>
      </w:r>
      <w:r w:rsidRPr="00181061">
        <w:t xml:space="preserve">In addition to the requested property tax exemption, </w:t>
      </w:r>
      <w:r>
        <w:t>i</w:t>
      </w:r>
      <w:r w:rsidRPr="00181061">
        <w:t>n July, the district approved 75 SDC waivers for the project. Based upon the multi-family unit type, this SDC exemption is valued at $644,175.</w:t>
      </w:r>
    </w:p>
    <w:p w14:paraId="1196F818" w14:textId="669C5647" w:rsidR="00B101CA" w:rsidRDefault="00D57882" w:rsidP="00D57882">
      <w:pPr>
        <w:tabs>
          <w:tab w:val="left" w:pos="4320"/>
        </w:tabs>
        <w:rPr>
          <w:rFonts w:ascii="Calibri" w:eastAsia="Calibri" w:hAnsi="Calibri"/>
          <w:b/>
          <w:i/>
        </w:rPr>
      </w:pPr>
      <w:r>
        <w:rPr>
          <w:rFonts w:ascii="Calibri" w:eastAsia="Calibri" w:hAnsi="Calibri"/>
          <w:b/>
          <w:i/>
        </w:rPr>
        <w:t>Director Schoen made a motion</w:t>
      </w:r>
      <w:r w:rsidRPr="00B07462">
        <w:rPr>
          <w:rFonts w:ascii="Calibri" w:eastAsia="Calibri" w:hAnsi="Calibri"/>
          <w:b/>
          <w:i/>
        </w:rPr>
        <w:t xml:space="preserve"> </w:t>
      </w:r>
      <w:r w:rsidR="00B101CA" w:rsidRPr="00B07462">
        <w:rPr>
          <w:rFonts w:ascii="Calibri" w:eastAsia="Calibri" w:hAnsi="Calibri"/>
          <w:b/>
          <w:i/>
        </w:rPr>
        <w:t>to approve</w:t>
      </w:r>
      <w:r w:rsidR="00B101CA">
        <w:rPr>
          <w:rFonts w:ascii="Calibri" w:eastAsia="Calibri" w:hAnsi="Calibri"/>
          <w:b/>
          <w:i/>
        </w:rPr>
        <w:t xml:space="preserve"> or deny</w:t>
      </w:r>
      <w:r w:rsidR="00B101CA" w:rsidRPr="00B07462">
        <w:rPr>
          <w:rFonts w:ascii="Calibri" w:eastAsia="Calibri" w:hAnsi="Calibri"/>
          <w:b/>
          <w:i/>
        </w:rPr>
        <w:t xml:space="preserve"> the applicant’s request for a twenty-year tax exemption for a </w:t>
      </w:r>
      <w:r w:rsidR="00B101CA">
        <w:rPr>
          <w:rFonts w:ascii="Calibri" w:eastAsia="Calibri" w:hAnsi="Calibri"/>
          <w:b/>
          <w:i/>
        </w:rPr>
        <w:t>128</w:t>
      </w:r>
      <w:r w:rsidR="00B101CA" w:rsidRPr="00B07462">
        <w:rPr>
          <w:rFonts w:ascii="Calibri" w:eastAsia="Calibri" w:hAnsi="Calibri"/>
          <w:b/>
          <w:i/>
        </w:rPr>
        <w:t xml:space="preserve">-unit residential development </w:t>
      </w:r>
      <w:r w:rsidR="00B101CA">
        <w:rPr>
          <w:rFonts w:ascii="Calibri" w:eastAsia="Calibri" w:hAnsi="Calibri"/>
          <w:b/>
          <w:bCs/>
        </w:rPr>
        <w:t xml:space="preserve">at </w:t>
      </w:r>
      <w:r w:rsidR="00B101CA" w:rsidRPr="0004650E">
        <w:rPr>
          <w:rFonts w:ascii="Calibri" w:eastAsia="Calibri" w:hAnsi="Calibri"/>
          <w:b/>
          <w:bCs/>
        </w:rPr>
        <w:t xml:space="preserve">0 SE Easton Pl, Lot 5 and 6 in the Easton Master Planned Development, </w:t>
      </w:r>
      <w:r w:rsidR="00B101CA" w:rsidRPr="00B07462">
        <w:rPr>
          <w:rFonts w:ascii="Calibri" w:eastAsia="Calibri" w:hAnsi="Calibri"/>
          <w:b/>
          <w:i/>
        </w:rPr>
        <w:t xml:space="preserve">as part of the </w:t>
      </w:r>
      <w:r w:rsidR="00B101CA">
        <w:rPr>
          <w:rFonts w:ascii="Calibri" w:eastAsia="Calibri" w:hAnsi="Calibri"/>
          <w:b/>
          <w:i/>
        </w:rPr>
        <w:t>c</w:t>
      </w:r>
      <w:r w:rsidR="00B101CA" w:rsidRPr="00B07462">
        <w:rPr>
          <w:rFonts w:ascii="Calibri" w:eastAsia="Calibri" w:hAnsi="Calibri"/>
          <w:b/>
          <w:i/>
        </w:rPr>
        <w:t>ity of Bend’s Income Qualified Tax Exemption program.</w:t>
      </w:r>
      <w:r>
        <w:rPr>
          <w:rFonts w:ascii="Calibri" w:eastAsia="Calibri" w:hAnsi="Calibri"/>
          <w:b/>
          <w:i/>
        </w:rPr>
        <w:t xml:space="preserve"> </w:t>
      </w:r>
      <w:r>
        <w:rPr>
          <w:rFonts w:ascii="Calibri" w:eastAsia="Calibri" w:hAnsi="Calibri"/>
          <w:b/>
          <w:i/>
        </w:rPr>
        <w:t>Director Schneider seconded. The motion failed, 2-2. (Schoen and Schneider voted in favor and Hovekamp and Owens</w:t>
      </w:r>
      <w:r w:rsidR="00A61733">
        <w:rPr>
          <w:rFonts w:ascii="Calibri" w:eastAsia="Calibri" w:hAnsi="Calibri"/>
          <w:b/>
          <w:i/>
        </w:rPr>
        <w:t xml:space="preserve"> opposed)</w:t>
      </w:r>
    </w:p>
    <w:p w14:paraId="7F150A55" w14:textId="77777777" w:rsidR="00A61733" w:rsidRDefault="00A61733">
      <w:pPr>
        <w:rPr>
          <w:b/>
          <w:bCs/>
        </w:rPr>
      </w:pPr>
    </w:p>
    <w:p w14:paraId="44D84E00" w14:textId="7757D1B5" w:rsidR="00367FDC" w:rsidRPr="00367FDC" w:rsidRDefault="00367FDC">
      <w:pPr>
        <w:rPr>
          <w:b/>
          <w:bCs/>
        </w:rPr>
      </w:pPr>
      <w:r w:rsidRPr="00367FDC">
        <w:rPr>
          <w:b/>
          <w:bCs/>
        </w:rPr>
        <w:t>Lighting at Pine Nursery Park</w:t>
      </w:r>
    </w:p>
    <w:p w14:paraId="37538992" w14:textId="2F93DE66" w:rsidR="00367FDC" w:rsidRPr="001E5B7A" w:rsidRDefault="001E5B7A">
      <w:r w:rsidRPr="001E5B7A">
        <w:t xml:space="preserve">As part of the Pine Nursery Phase 5 project, the district evaluated purchasing options for sports field lighting and pickleball court lighting needed for the project. Staff determine that purchasing </w:t>
      </w:r>
      <w:r w:rsidR="0041738A">
        <w:t>lighting</w:t>
      </w:r>
      <w:r w:rsidRPr="001E5B7A">
        <w:t xml:space="preserve"> directly would be beneficial to the project.</w:t>
      </w:r>
    </w:p>
    <w:p w14:paraId="4FA6D303" w14:textId="04108905" w:rsidR="001E5B7A" w:rsidRDefault="0041738A">
      <w:r>
        <w:t>With</w:t>
      </w:r>
      <w:r w:rsidR="001E5B7A" w:rsidRPr="001E5B7A">
        <w:t xml:space="preserve"> this approach, the lighting will be owner-furnished, contractor-installed (OFCI) meaning the district buys the lighting fixtures directly from the supplier, and the construction contractor installs them as part of the construction contract. To ensure compliance with Oregon public </w:t>
      </w:r>
      <w:r w:rsidR="001E5B7A" w:rsidRPr="001E5B7A">
        <w:lastRenderedPageBreak/>
        <w:t>contracting law, the district solicited proposals from vendors offering sports lighting systems under valid cooperative purchasing contracts (ORS 279A.200–220). A committee of staff from different departments evaluated four proposals based on lighting design and specifications, controls integration, ability to obtain certification the International Dark Sky Outdoor Sports Lighting Program, warranty, and price.</w:t>
      </w:r>
    </w:p>
    <w:p w14:paraId="7E74EAC0" w14:textId="750954A8" w:rsidR="00AB20DB" w:rsidRDefault="00AB20DB">
      <w:r w:rsidRPr="00046C6E">
        <w:t xml:space="preserve">The board approved the purchase of sports field and pickleball court lights for the Pine Nursery Phase 5 project through the TIPS cooperative agreement from </w:t>
      </w:r>
      <w:proofErr w:type="spellStart"/>
      <w:r w:rsidRPr="00046C6E">
        <w:t>Siteco</w:t>
      </w:r>
      <w:proofErr w:type="spellEnd"/>
      <w:r w:rsidRPr="00046C6E">
        <w:t xml:space="preserve"> Lighting US, Inc. for a total amount not to exceed $1,105,000.</w:t>
      </w:r>
      <w:r w:rsidRPr="00AB20DB">
        <w:t xml:space="preserve">  </w:t>
      </w:r>
    </w:p>
    <w:p w14:paraId="6461D12C" w14:textId="77777777" w:rsidR="00A61733" w:rsidRPr="005A19FE" w:rsidRDefault="00A61733" w:rsidP="00A61733">
      <w:pPr>
        <w:rPr>
          <w:b/>
          <w:iCs/>
        </w:rPr>
      </w:pPr>
      <w:r w:rsidRPr="00A61733">
        <w:rPr>
          <w:rFonts w:ascii="Calibri" w:eastAsia="Calibri" w:hAnsi="Calibri"/>
          <w:b/>
          <w:bCs/>
          <w:i/>
          <w:iCs/>
        </w:rPr>
        <w:t>Director Hovekamp made a motion</w:t>
      </w:r>
      <w:r w:rsidRPr="00A61733">
        <w:rPr>
          <w:rFonts w:ascii="Calibri" w:eastAsia="Calibri" w:hAnsi="Calibri"/>
          <w:b/>
          <w:bCs/>
          <w:i/>
          <w:iCs/>
        </w:rPr>
        <w:t xml:space="preserve"> to approve the purchase of sports field and pickleball court lights for the Pine Nursery Phase 5 project through the TIPS cooperative agreement from </w:t>
      </w:r>
      <w:proofErr w:type="spellStart"/>
      <w:r w:rsidRPr="00A61733">
        <w:rPr>
          <w:rFonts w:ascii="Calibri" w:eastAsia="Calibri" w:hAnsi="Calibri"/>
          <w:b/>
          <w:bCs/>
          <w:i/>
          <w:iCs/>
        </w:rPr>
        <w:t>Siteco</w:t>
      </w:r>
      <w:proofErr w:type="spellEnd"/>
      <w:r w:rsidRPr="00A61733">
        <w:rPr>
          <w:rFonts w:ascii="Calibri" w:eastAsia="Calibri" w:hAnsi="Calibri"/>
          <w:b/>
          <w:bCs/>
          <w:i/>
          <w:iCs/>
        </w:rPr>
        <w:t xml:space="preserve"> Lighting US, Inc. for a total amount not to exceed $1,105,000. </w:t>
      </w:r>
      <w:r w:rsidRPr="00A61733">
        <w:rPr>
          <w:rFonts w:ascii="Calibri" w:eastAsia="Calibri" w:hAnsi="Calibri"/>
          <w:b/>
          <w:bCs/>
          <w:i/>
          <w:iCs/>
        </w:rPr>
        <w:t>Director Schoen seconded. The motion passed unanimously, 4-0.</w:t>
      </w:r>
      <w:r>
        <w:rPr>
          <w:rFonts w:ascii="Calibri" w:eastAsia="Calibri" w:hAnsi="Calibri"/>
          <w:b/>
          <w:bCs/>
        </w:rPr>
        <w:t xml:space="preserve"> </w:t>
      </w:r>
      <w:r>
        <w:rPr>
          <w:rFonts w:ascii="Calibri" w:hAnsi="Calibri"/>
          <w:b/>
          <w:i/>
        </w:rPr>
        <w:t>(Hovekamp, Schoen, Schneider and Owens)</w:t>
      </w:r>
    </w:p>
    <w:p w14:paraId="08172024" w14:textId="77777777" w:rsidR="00A61733" w:rsidRDefault="00A61733">
      <w:pPr>
        <w:rPr>
          <w:b/>
          <w:bCs/>
        </w:rPr>
      </w:pPr>
    </w:p>
    <w:p w14:paraId="72B925AF" w14:textId="653A4933" w:rsidR="00367FDC" w:rsidRPr="00367FDC" w:rsidRDefault="00367FDC">
      <w:pPr>
        <w:rPr>
          <w:b/>
          <w:bCs/>
        </w:rPr>
      </w:pPr>
      <w:r w:rsidRPr="00367FDC">
        <w:rPr>
          <w:b/>
          <w:bCs/>
        </w:rPr>
        <w:t>Letter of intent with OSU-Cascades</w:t>
      </w:r>
    </w:p>
    <w:p w14:paraId="3A4416B6" w14:textId="7A2BCE18" w:rsidR="00367FDC" w:rsidRDefault="00E83D40">
      <w:r w:rsidRPr="00E83D40">
        <w:t>The district’s Park Services shop on Simpson Ave</w:t>
      </w:r>
      <w:r w:rsidR="00F91D56">
        <w:t>nue</w:t>
      </w:r>
      <w:r w:rsidRPr="00E83D40">
        <w:t xml:space="preserve"> is </w:t>
      </w:r>
      <w:r w:rsidR="00F91D56">
        <w:t>adjacent to</w:t>
      </w:r>
      <w:r w:rsidRPr="00E83D40">
        <w:t xml:space="preserve"> OSU-Cascades</w:t>
      </w:r>
      <w:r w:rsidR="00F91D56">
        <w:t>’</w:t>
      </w:r>
      <w:r w:rsidRPr="00E83D40">
        <w:t xml:space="preserve"> growing campus. The board of directors authorized the executive director to negotiate and execute a Letter of Intent with Oregon State University – Cascades for a right of first offer for the Simpson Shop Complex property if or when BPRD decides to sell the property. A new Park Services shop on Boyd Acres Road is </w:t>
      </w:r>
      <w:r w:rsidR="00AB20DB" w:rsidRPr="00E83D40">
        <w:t>planned</w:t>
      </w:r>
      <w:r w:rsidRPr="00E83D40">
        <w:t xml:space="preserve">, and continued use of the Simpson property will be determined in the future. </w:t>
      </w:r>
    </w:p>
    <w:p w14:paraId="57780EC5" w14:textId="7423A175" w:rsidR="001B5C1D" w:rsidRDefault="001B5C1D">
      <w:r>
        <w:t xml:space="preserve">The letter of intent also </w:t>
      </w:r>
      <w:r w:rsidRPr="001B5C1D">
        <w:t>grant</w:t>
      </w:r>
      <w:r>
        <w:t>s</w:t>
      </w:r>
      <w:r w:rsidRPr="001B5C1D">
        <w:t xml:space="preserve"> BPRD a recorded easement for access to the road system at </w:t>
      </w:r>
      <w:r>
        <w:t>the Simpson site</w:t>
      </w:r>
      <w:r w:rsidRPr="001B5C1D">
        <w:t>. This easement allows for all potential district uses, including recreational, facility, or other public purposes.</w:t>
      </w:r>
    </w:p>
    <w:p w14:paraId="085903E4" w14:textId="76CFECE1" w:rsidR="00B101CA" w:rsidRPr="00A61733" w:rsidRDefault="00D57882" w:rsidP="00B101CA">
      <w:pPr>
        <w:rPr>
          <w:b/>
          <w:i/>
        </w:rPr>
      </w:pPr>
      <w:r w:rsidRPr="00A61733">
        <w:rPr>
          <w:b/>
          <w:i/>
        </w:rPr>
        <w:t xml:space="preserve">Director </w:t>
      </w:r>
      <w:r w:rsidR="00A61733" w:rsidRPr="00A61733">
        <w:rPr>
          <w:b/>
          <w:i/>
        </w:rPr>
        <w:t>Schneider made a motion</w:t>
      </w:r>
      <w:r w:rsidR="00B101CA" w:rsidRPr="00A61733">
        <w:rPr>
          <w:b/>
          <w:i/>
        </w:rPr>
        <w:t xml:space="preserve"> to authorize the executive director to negotiate and execute a Letter of Intent with Oregon State University – Cascades for a right of first offer for the Simpson Shop Complex property located at 19785 SW Simpson Avenue. </w:t>
      </w:r>
      <w:r w:rsidR="00A61733" w:rsidRPr="00A61733">
        <w:rPr>
          <w:b/>
          <w:i/>
        </w:rPr>
        <w:t xml:space="preserve">Director Hovekamp seconded. The motion passed unanimously, 4-0. </w:t>
      </w:r>
      <w:r w:rsidR="00A61733" w:rsidRPr="00A61733">
        <w:rPr>
          <w:rFonts w:ascii="Calibri" w:hAnsi="Calibri"/>
          <w:b/>
          <w:i/>
        </w:rPr>
        <w:t>(</w:t>
      </w:r>
      <w:r w:rsidRPr="00A61733">
        <w:rPr>
          <w:rFonts w:ascii="Calibri" w:hAnsi="Calibri"/>
          <w:b/>
          <w:i/>
        </w:rPr>
        <w:t>Hovekamp, Schoen, Schneider and Owens)</w:t>
      </w:r>
    </w:p>
    <w:p w14:paraId="70236DB1" w14:textId="77777777" w:rsidR="00A61733" w:rsidRDefault="00A61733">
      <w:pPr>
        <w:rPr>
          <w:b/>
          <w:bCs/>
        </w:rPr>
      </w:pPr>
    </w:p>
    <w:p w14:paraId="5BF24796" w14:textId="7A38CD28" w:rsidR="00367FDC" w:rsidRPr="00367FDC" w:rsidRDefault="00367FDC">
      <w:pPr>
        <w:rPr>
          <w:b/>
          <w:bCs/>
        </w:rPr>
      </w:pPr>
      <w:r w:rsidRPr="00367FDC">
        <w:rPr>
          <w:b/>
          <w:bCs/>
        </w:rPr>
        <w:t>Natural Resources internship</w:t>
      </w:r>
    </w:p>
    <w:p w14:paraId="0A11B6ED" w14:textId="1B9DAC09" w:rsidR="0080286D" w:rsidRDefault="00935848">
      <w:r w:rsidRPr="0080286D">
        <w:t xml:space="preserve">BPRD hired an intern from OSU-Cascades to conduct natural resources research along the Deschutes River to assess conditions since the </w:t>
      </w:r>
      <w:hyperlink r:id="rId7" w:history="1">
        <w:r w:rsidRPr="0080286D">
          <w:rPr>
            <w:rStyle w:val="Hyperlink"/>
          </w:rPr>
          <w:t>river plan</w:t>
        </w:r>
      </w:hyperlink>
      <w:r w:rsidRPr="0080286D">
        <w:t xml:space="preserve"> was developed </w:t>
      </w:r>
      <w:r w:rsidR="0080286D" w:rsidRPr="0080286D">
        <w:t xml:space="preserve">in 2021. </w:t>
      </w:r>
      <w:r w:rsidR="0080286D">
        <w:t xml:space="preserve">The plan identified 94 user-created access points along with 25 official access points. Intern Rylin Duster </w:t>
      </w:r>
      <w:r w:rsidR="0080286D">
        <w:lastRenderedPageBreak/>
        <w:t xml:space="preserve">identified </w:t>
      </w:r>
      <w:r w:rsidR="0039234D">
        <w:t>389</w:t>
      </w:r>
      <w:r w:rsidR="0080286D">
        <w:t xml:space="preserve"> user-created access points, </w:t>
      </w:r>
      <w:r w:rsidR="00F91D56">
        <w:t xml:space="preserve">a big jump, </w:t>
      </w:r>
      <w:r w:rsidR="0080286D">
        <w:t xml:space="preserve">due in part to her efforts to assess conditions from the water rather than the riverbank. The access points and conditions are impacted by people, dogs and other animals. </w:t>
      </w:r>
    </w:p>
    <w:p w14:paraId="745EF004" w14:textId="1C9C6A42" w:rsidR="0080286D" w:rsidRPr="0080286D" w:rsidRDefault="0080286D">
      <w:r>
        <w:t>The assessment measures conditions over time to inform priority projects for the district, following successful projects at Riverbend South and Miller’s Landing with upcoming work planned at Columbia Park</w:t>
      </w:r>
      <w:r w:rsidR="00F91D56">
        <w:t xml:space="preserve">, </w:t>
      </w:r>
      <w:r>
        <w:t>McKay Park</w:t>
      </w:r>
      <w:r w:rsidR="00F91D56">
        <w:t xml:space="preserve"> and other future projects</w:t>
      </w:r>
      <w:r>
        <w:t xml:space="preserve">. </w:t>
      </w:r>
    </w:p>
    <w:p w14:paraId="597ECE14" w14:textId="77777777" w:rsidR="00A61733" w:rsidRDefault="00A61733">
      <w:pPr>
        <w:rPr>
          <w:b/>
          <w:bCs/>
        </w:rPr>
      </w:pPr>
    </w:p>
    <w:p w14:paraId="112CBFC7" w14:textId="1A340A60" w:rsidR="00367FDC" w:rsidRPr="00367FDC" w:rsidRDefault="00F91D56">
      <w:pPr>
        <w:rPr>
          <w:b/>
          <w:bCs/>
        </w:rPr>
      </w:pPr>
      <w:r>
        <w:rPr>
          <w:b/>
          <w:bCs/>
        </w:rPr>
        <w:t>Grant application</w:t>
      </w:r>
    </w:p>
    <w:p w14:paraId="790B0B55" w14:textId="77777777" w:rsidR="0023099A" w:rsidRDefault="0023099A">
      <w:r>
        <w:t>T</w:t>
      </w:r>
      <w:r w:rsidRPr="0023099A">
        <w:t>he board adopt</w:t>
      </w:r>
      <w:r>
        <w:t>ed</w:t>
      </w:r>
      <w:r w:rsidRPr="0023099A">
        <w:t xml:space="preserve"> Resolution No. 2025-13 supporting the 2025 Deschutes River Trail Natural Area Land and Water Conservation Fund Grant application.</w:t>
      </w:r>
      <w:r>
        <w:t xml:space="preserve"> In May 2025, </w:t>
      </w:r>
      <w:r w:rsidRPr="0023099A">
        <w:t xml:space="preserve">the Board of Directors authorized the Executive Director to negotiate and execute a Purchase and Sale Agreement (PSA) for 47.43 acres of land off NW Putnam Road.  </w:t>
      </w:r>
    </w:p>
    <w:p w14:paraId="3D887C7B" w14:textId="12B7BF26" w:rsidR="00367FDC" w:rsidRDefault="0023099A">
      <w:r w:rsidRPr="0023099A">
        <w:t xml:space="preserve">The intent of purchasing the property is to create a future natural area park with soft surface trails, nature and wildlife viewing, directional and interpretive signage, and a restroom. The primary trail will be an extension of the Deschutes River Trail. The property will also serve as a trailhead and trailhead parking for the </w:t>
      </w:r>
      <w:r w:rsidR="00F91D56">
        <w:t>DRT</w:t>
      </w:r>
      <w:r w:rsidRPr="0023099A">
        <w:t>.</w:t>
      </w:r>
      <w:r>
        <w:t xml:space="preserve"> </w:t>
      </w:r>
      <w:r w:rsidRPr="0023099A">
        <w:t xml:space="preserve">Staff have determined that a grant from the Land and Water Conservation Fund (LWCF) is the best option to </w:t>
      </w:r>
      <w:r w:rsidR="00F91D56">
        <w:t xml:space="preserve">partially </w:t>
      </w:r>
      <w:r w:rsidRPr="0023099A">
        <w:t>fund this purchase</w:t>
      </w:r>
      <w:r w:rsidR="000D253C">
        <w:t>, and a board</w:t>
      </w:r>
      <w:r w:rsidR="008C6B1F">
        <w:t xml:space="preserve"> resolution is required for the grant application</w:t>
      </w:r>
      <w:r w:rsidRPr="0023099A">
        <w:t xml:space="preserve">.  </w:t>
      </w:r>
    </w:p>
    <w:p w14:paraId="7DE44E13" w14:textId="77777777" w:rsidR="00A61733" w:rsidRPr="005A19FE" w:rsidRDefault="00A61733" w:rsidP="00A61733">
      <w:pPr>
        <w:rPr>
          <w:b/>
          <w:iCs/>
        </w:rPr>
      </w:pPr>
      <w:r>
        <w:rPr>
          <w:rFonts w:ascii="Calibri" w:hAnsi="Calibri"/>
          <w:b/>
          <w:i/>
        </w:rPr>
        <w:t xml:space="preserve">Director Hovekamp made a motion to approve the consent agenda. Director Schoen seconded. The motion passed unanimously, 4-0.  </w:t>
      </w:r>
      <w:r>
        <w:rPr>
          <w:rFonts w:ascii="Calibri" w:hAnsi="Calibri"/>
          <w:b/>
          <w:i/>
        </w:rPr>
        <w:t>(Hovekamp, Schoen, Schneider and Owens)</w:t>
      </w:r>
    </w:p>
    <w:p w14:paraId="6157B1D4" w14:textId="77777777" w:rsidR="00A61733" w:rsidRDefault="00A61733">
      <w:pPr>
        <w:rPr>
          <w:rFonts w:ascii="Calibri" w:hAnsi="Calibri"/>
          <w:i/>
        </w:rPr>
      </w:pPr>
    </w:p>
    <w:p w14:paraId="50739DD4" w14:textId="70B4C0DC" w:rsidR="00F91D56" w:rsidRPr="00F91D56" w:rsidRDefault="00F91D56">
      <w:pPr>
        <w:rPr>
          <w:b/>
          <w:bCs/>
        </w:rPr>
      </w:pPr>
      <w:r w:rsidRPr="00F91D56">
        <w:rPr>
          <w:b/>
          <w:bCs/>
        </w:rPr>
        <w:t>Naming policy updated</w:t>
      </w:r>
    </w:p>
    <w:p w14:paraId="012B7AA0" w14:textId="643A3665" w:rsidR="00101C54" w:rsidRDefault="00101C54">
      <w:r>
        <w:t xml:space="preserve">The board adopted an update to the </w:t>
      </w:r>
      <w:r w:rsidRPr="00101C54">
        <w:t>Park, Facility and Trail Naming Policy</w:t>
      </w:r>
      <w:r w:rsidR="00CE778C">
        <w:t xml:space="preserve"> with an edit suggested by Director Cary Schneider</w:t>
      </w:r>
      <w:r>
        <w:t xml:space="preserve">. </w:t>
      </w:r>
      <w:r w:rsidRPr="00101C54">
        <w:t xml:space="preserve"> </w:t>
      </w:r>
    </w:p>
    <w:p w14:paraId="49948078" w14:textId="77777777" w:rsidR="00101C54" w:rsidRDefault="00101C54" w:rsidP="00101C54">
      <w:pPr>
        <w:pStyle w:val="ListParagraph"/>
        <w:numPr>
          <w:ilvl w:val="0"/>
          <w:numId w:val="1"/>
        </w:numPr>
      </w:pPr>
      <w:r w:rsidRPr="00101C54">
        <w:t>Updated definitions to ensure alignment of definitions between the policies.</w:t>
      </w:r>
    </w:p>
    <w:p w14:paraId="73F8731C" w14:textId="3C867425" w:rsidR="00101C54" w:rsidRDefault="00101C54" w:rsidP="00101C54">
      <w:pPr>
        <w:pStyle w:val="ListParagraph"/>
        <w:numPr>
          <w:ilvl w:val="0"/>
          <w:numId w:val="1"/>
        </w:numPr>
      </w:pPr>
      <w:r w:rsidRPr="00101C54">
        <w:t xml:space="preserve">Updates to the Feature Naming section to provide clarity on the process associated with this type of naming given this information is no longer included in the Gifts Policy. To reflect the inclusion of the Feature Naming process in the policy, the policy name has been updated to include the term “Feature.” </w:t>
      </w:r>
    </w:p>
    <w:p w14:paraId="5F8E8757" w14:textId="6EDA01DD" w:rsidR="00101C54" w:rsidRDefault="00101C54" w:rsidP="00101C54">
      <w:pPr>
        <w:pStyle w:val="ListParagraph"/>
        <w:numPr>
          <w:ilvl w:val="0"/>
          <w:numId w:val="1"/>
        </w:numPr>
      </w:pPr>
      <w:r w:rsidRPr="00101C54">
        <w:t xml:space="preserve">Updates the Naming Committee appointment process to reflect that two positions are appointed in one cycle and three are appointed in a second cycle two years later. This staggering of appointments aligns with the process for the budget committee.  </w:t>
      </w:r>
    </w:p>
    <w:p w14:paraId="44AC04A1" w14:textId="77777777" w:rsidR="00D57882" w:rsidRDefault="00D57882" w:rsidP="00D57882">
      <w:pPr>
        <w:pStyle w:val="ListParagraph"/>
        <w:rPr>
          <w:b/>
          <w:bCs/>
          <w:i/>
          <w:iCs/>
        </w:rPr>
      </w:pPr>
    </w:p>
    <w:p w14:paraId="0D19ACA3" w14:textId="4D19A5D8" w:rsidR="00D57882" w:rsidRPr="00D57882" w:rsidRDefault="00D57882" w:rsidP="00D57882">
      <w:pPr>
        <w:rPr>
          <w:b/>
          <w:bCs/>
          <w:i/>
          <w:iCs/>
        </w:rPr>
      </w:pPr>
      <w:r w:rsidRPr="00D57882">
        <w:rPr>
          <w:b/>
          <w:bCs/>
          <w:i/>
          <w:iCs/>
        </w:rPr>
        <w:lastRenderedPageBreak/>
        <w:t>Director Schoen made a motion to approve the consent agenda</w:t>
      </w:r>
      <w:r w:rsidR="00A61733">
        <w:rPr>
          <w:b/>
          <w:bCs/>
          <w:i/>
          <w:iCs/>
        </w:rPr>
        <w:t xml:space="preserve"> with an edit to the naming policy</w:t>
      </w:r>
      <w:r w:rsidRPr="00D57882">
        <w:rPr>
          <w:b/>
          <w:bCs/>
          <w:i/>
          <w:iCs/>
        </w:rPr>
        <w:t xml:space="preserve">. Director Schneider seconded. The motion passed unanimously, 4-0. </w:t>
      </w:r>
      <w:r w:rsidRPr="00D57882">
        <w:rPr>
          <w:rFonts w:ascii="Calibri" w:hAnsi="Calibri"/>
          <w:b/>
          <w:i/>
        </w:rPr>
        <w:t>(Hovekamp, Schoen, Schneider and Owens)</w:t>
      </w:r>
    </w:p>
    <w:p w14:paraId="30737AE8" w14:textId="0B761929" w:rsidR="00367FDC" w:rsidRDefault="00367FDC">
      <w:r>
        <w:t xml:space="preserve">The next board of directors meeting is </w:t>
      </w:r>
      <w:r w:rsidR="00046C6E">
        <w:t xml:space="preserve">cancelled for </w:t>
      </w:r>
      <w:r>
        <w:t xml:space="preserve">Oct. 7. </w:t>
      </w:r>
      <w:r w:rsidR="00046C6E">
        <w:t>The next meeting is Oct. 21.</w:t>
      </w:r>
    </w:p>
    <w:p w14:paraId="440A0099" w14:textId="2CE1C9EF" w:rsidR="00367FDC" w:rsidRDefault="00367FDC"/>
    <w:sectPr w:rsidR="00367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785F"/>
    <w:multiLevelType w:val="hybridMultilevel"/>
    <w:tmpl w:val="552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80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09"/>
    <w:rsid w:val="00043094"/>
    <w:rsid w:val="00046C6E"/>
    <w:rsid w:val="000D253C"/>
    <w:rsid w:val="00101C54"/>
    <w:rsid w:val="00181061"/>
    <w:rsid w:val="001855DD"/>
    <w:rsid w:val="001B5C1D"/>
    <w:rsid w:val="001E5B7A"/>
    <w:rsid w:val="0023099A"/>
    <w:rsid w:val="00231C09"/>
    <w:rsid w:val="002E4C48"/>
    <w:rsid w:val="00367FDC"/>
    <w:rsid w:val="0039234D"/>
    <w:rsid w:val="0041738A"/>
    <w:rsid w:val="0057318C"/>
    <w:rsid w:val="005D515C"/>
    <w:rsid w:val="006003F0"/>
    <w:rsid w:val="007263DB"/>
    <w:rsid w:val="007368C2"/>
    <w:rsid w:val="00744B93"/>
    <w:rsid w:val="00783E3A"/>
    <w:rsid w:val="00784EA7"/>
    <w:rsid w:val="0080286D"/>
    <w:rsid w:val="008400E6"/>
    <w:rsid w:val="008C6B1F"/>
    <w:rsid w:val="008D6EA9"/>
    <w:rsid w:val="00935848"/>
    <w:rsid w:val="00A61733"/>
    <w:rsid w:val="00A75382"/>
    <w:rsid w:val="00AB20DB"/>
    <w:rsid w:val="00B101CA"/>
    <w:rsid w:val="00CE778C"/>
    <w:rsid w:val="00D57882"/>
    <w:rsid w:val="00E83D40"/>
    <w:rsid w:val="00EB1FAA"/>
    <w:rsid w:val="00F65F2F"/>
    <w:rsid w:val="00F9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DE46"/>
  <w15:chartTrackingRefBased/>
  <w15:docId w15:val="{640CBA11-59E9-4FED-8DD7-3FE4A758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C09"/>
    <w:rPr>
      <w:rFonts w:eastAsiaTheme="majorEastAsia" w:cstheme="majorBidi"/>
      <w:color w:val="272727" w:themeColor="text1" w:themeTint="D8"/>
    </w:rPr>
  </w:style>
  <w:style w:type="paragraph" w:styleId="Title">
    <w:name w:val="Title"/>
    <w:basedOn w:val="Normal"/>
    <w:next w:val="Normal"/>
    <w:link w:val="TitleChar"/>
    <w:uiPriority w:val="10"/>
    <w:qFormat/>
    <w:rsid w:val="0023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C09"/>
    <w:pPr>
      <w:spacing w:before="160"/>
      <w:jc w:val="center"/>
    </w:pPr>
    <w:rPr>
      <w:i/>
      <w:iCs/>
      <w:color w:val="404040" w:themeColor="text1" w:themeTint="BF"/>
    </w:rPr>
  </w:style>
  <w:style w:type="character" w:customStyle="1" w:styleId="QuoteChar">
    <w:name w:val="Quote Char"/>
    <w:basedOn w:val="DefaultParagraphFont"/>
    <w:link w:val="Quote"/>
    <w:uiPriority w:val="29"/>
    <w:rsid w:val="00231C09"/>
    <w:rPr>
      <w:i/>
      <w:iCs/>
      <w:color w:val="404040" w:themeColor="text1" w:themeTint="BF"/>
    </w:rPr>
  </w:style>
  <w:style w:type="paragraph" w:styleId="ListParagraph">
    <w:name w:val="List Paragraph"/>
    <w:basedOn w:val="Normal"/>
    <w:uiPriority w:val="34"/>
    <w:qFormat/>
    <w:rsid w:val="00231C09"/>
    <w:pPr>
      <w:ind w:left="720"/>
      <w:contextualSpacing/>
    </w:pPr>
  </w:style>
  <w:style w:type="character" w:styleId="IntenseEmphasis">
    <w:name w:val="Intense Emphasis"/>
    <w:basedOn w:val="DefaultParagraphFont"/>
    <w:uiPriority w:val="21"/>
    <w:qFormat/>
    <w:rsid w:val="00231C09"/>
    <w:rPr>
      <w:i/>
      <w:iCs/>
      <w:color w:val="2F5496" w:themeColor="accent1" w:themeShade="BF"/>
    </w:rPr>
  </w:style>
  <w:style w:type="paragraph" w:styleId="IntenseQuote">
    <w:name w:val="Intense Quote"/>
    <w:basedOn w:val="Normal"/>
    <w:next w:val="Normal"/>
    <w:link w:val="IntenseQuoteChar"/>
    <w:uiPriority w:val="30"/>
    <w:qFormat/>
    <w:rsid w:val="00231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C09"/>
    <w:rPr>
      <w:i/>
      <w:iCs/>
      <w:color w:val="2F5496" w:themeColor="accent1" w:themeShade="BF"/>
    </w:rPr>
  </w:style>
  <w:style w:type="character" w:styleId="IntenseReference">
    <w:name w:val="Intense Reference"/>
    <w:basedOn w:val="DefaultParagraphFont"/>
    <w:uiPriority w:val="32"/>
    <w:qFormat/>
    <w:rsid w:val="00231C09"/>
    <w:rPr>
      <w:b/>
      <w:bCs/>
      <w:smallCaps/>
      <w:color w:val="2F5496" w:themeColor="accent1" w:themeShade="BF"/>
      <w:spacing w:val="5"/>
    </w:rPr>
  </w:style>
  <w:style w:type="character" w:styleId="Hyperlink">
    <w:name w:val="Hyperlink"/>
    <w:basedOn w:val="DefaultParagraphFont"/>
    <w:uiPriority w:val="99"/>
    <w:unhideWhenUsed/>
    <w:rsid w:val="0080286D"/>
    <w:rPr>
      <w:color w:val="0563C1" w:themeColor="hyperlink"/>
      <w:u w:val="single"/>
    </w:rPr>
  </w:style>
  <w:style w:type="character" w:styleId="UnresolvedMention">
    <w:name w:val="Unresolved Mention"/>
    <w:basedOn w:val="DefaultParagraphFont"/>
    <w:uiPriority w:val="99"/>
    <w:semiHidden/>
    <w:unhideWhenUsed/>
    <w:rsid w:val="00802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ndparksandrec.org/about/planning-and-development/river-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parksandrec.org/about/board-meeting-video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Sheila Reed</cp:lastModifiedBy>
  <cp:revision>3</cp:revision>
  <dcterms:created xsi:type="dcterms:W3CDTF">2025-10-08T23:56:00Z</dcterms:created>
  <dcterms:modified xsi:type="dcterms:W3CDTF">2025-10-15T20:51:00Z</dcterms:modified>
</cp:coreProperties>
</file>